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81" w:rsidRDefault="003A1DA6">
      <w:hyperlink r:id="rId4" w:history="1">
        <w:r w:rsidRPr="003E317E">
          <w:rPr>
            <w:rStyle w:val="a3"/>
          </w:rPr>
          <w:t>https://neiros.ru/blog/management/upravlenie-riskami-8-klyuchevykh-metodologiy-risk-menedz</w:t>
        </w:r>
        <w:r w:rsidRPr="003E317E">
          <w:rPr>
            <w:rStyle w:val="a3"/>
          </w:rPr>
          <w:t>h</w:t>
        </w:r>
        <w:r w:rsidRPr="003E317E">
          <w:rPr>
            <w:rStyle w:val="a3"/>
          </w:rPr>
          <w:t>me</w:t>
        </w:r>
        <w:bookmarkStart w:id="0" w:name="_GoBack"/>
        <w:bookmarkEnd w:id="0"/>
        <w:r w:rsidRPr="003E317E">
          <w:rPr>
            <w:rStyle w:val="a3"/>
          </w:rPr>
          <w:t>n</w:t>
        </w:r>
        <w:r w:rsidRPr="003E317E">
          <w:rPr>
            <w:rStyle w:val="a3"/>
          </w:rPr>
          <w:t>ta/</w:t>
        </w:r>
      </w:hyperlink>
    </w:p>
    <w:p w:rsidR="003A1DA6" w:rsidRDefault="003A1DA6"/>
    <w:sectPr w:rsidR="003A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0F"/>
    <w:rsid w:val="003A1DA6"/>
    <w:rsid w:val="0040370F"/>
    <w:rsid w:val="0080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2563"/>
  <w15:chartTrackingRefBased/>
  <w15:docId w15:val="{1A0FFCA8-047B-4EEA-A7AD-B54CBCCE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DA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1D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iros.ru/blog/management/upravlenie-riskami-8-klyuchevykh-metodologiy-risk-menedzhmen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3</cp:revision>
  <dcterms:created xsi:type="dcterms:W3CDTF">2025-04-25T05:31:00Z</dcterms:created>
  <dcterms:modified xsi:type="dcterms:W3CDTF">2025-04-25T05:31:00Z</dcterms:modified>
</cp:coreProperties>
</file>